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3CC" w:rsidRPr="00EC6A59" w:rsidRDefault="00621BB0" w:rsidP="00EC6A59">
      <w:pPr>
        <w:spacing w:after="120"/>
        <w:jc w:val="center"/>
        <w:rPr>
          <w:rFonts w:asciiTheme="majorHAnsi" w:eastAsiaTheme="majorEastAsia" w:hAnsiTheme="majorHAnsi"/>
          <w:b/>
          <w:color w:val="007148"/>
          <w:sz w:val="26"/>
          <w:szCs w:val="26"/>
          <w:lang w:val="en-GB"/>
        </w:rPr>
      </w:pPr>
      <w:r w:rsidRPr="00EC6A59">
        <w:rPr>
          <w:rFonts w:asciiTheme="majorHAnsi" w:eastAsiaTheme="majorEastAsia" w:hAnsiTheme="majorHAnsi"/>
          <w:b/>
          <w:color w:val="007148"/>
          <w:sz w:val="26"/>
          <w:szCs w:val="26"/>
          <w:lang w:val="en-GB"/>
        </w:rPr>
        <w:t>ADDITIONAL NOTES</w:t>
      </w:r>
      <w:r w:rsidR="00D97310">
        <w:rPr>
          <w:rFonts w:asciiTheme="majorHAnsi" w:eastAsiaTheme="majorEastAsia" w:hAnsiTheme="majorHAnsi"/>
          <w:b/>
          <w:color w:val="007148"/>
          <w:sz w:val="26"/>
          <w:szCs w:val="26"/>
          <w:lang w:val="en-GB"/>
        </w:rPr>
        <w:t>:</w:t>
      </w:r>
      <w:r w:rsidRPr="00EC6A59">
        <w:rPr>
          <w:rFonts w:asciiTheme="majorHAnsi" w:eastAsiaTheme="majorEastAsia" w:hAnsiTheme="majorHAnsi"/>
          <w:b/>
          <w:color w:val="007148"/>
          <w:sz w:val="26"/>
          <w:szCs w:val="26"/>
          <w:lang w:val="en-GB"/>
        </w:rPr>
        <w:t xml:space="preserve"> </w:t>
      </w:r>
      <w:r w:rsidR="00D97310">
        <w:rPr>
          <w:rFonts w:asciiTheme="majorHAnsi" w:eastAsiaTheme="majorEastAsia" w:hAnsiTheme="majorHAnsi"/>
          <w:b/>
          <w:color w:val="007148"/>
          <w:sz w:val="26"/>
          <w:szCs w:val="26"/>
          <w:lang w:val="en-GB"/>
        </w:rPr>
        <w:t>FREQUENTLY ASKED QUESTIONS</w:t>
      </w:r>
    </w:p>
    <w:p w:rsidR="00B60AE5" w:rsidRPr="009A2320" w:rsidRDefault="00575AFD" w:rsidP="00621BB0">
      <w:pPr>
        <w:pBdr>
          <w:bottom w:val="single" w:sz="6" w:space="0" w:color="auto"/>
        </w:pBdr>
        <w:jc w:val="center"/>
        <w:rPr>
          <w:i/>
          <w:sz w:val="20"/>
        </w:rPr>
      </w:pPr>
      <w:r w:rsidRPr="009A2320">
        <w:rPr>
          <w:i/>
          <w:sz w:val="20"/>
          <w:lang w:val="en-GB"/>
        </w:rPr>
        <w:t xml:space="preserve">Note: </w:t>
      </w:r>
      <w:r w:rsidR="00621BB0" w:rsidRPr="009A2320">
        <w:rPr>
          <w:i/>
          <w:sz w:val="20"/>
          <w:lang w:val="en-GB"/>
        </w:rPr>
        <w:t>this document includes</w:t>
      </w:r>
      <w:r w:rsidR="00B60AE5" w:rsidRPr="009A2320">
        <w:rPr>
          <w:i/>
          <w:sz w:val="20"/>
        </w:rPr>
        <w:t xml:space="preserve"> frequently asked questions</w:t>
      </w:r>
      <w:r w:rsidR="00621BB0" w:rsidRPr="009A2320">
        <w:rPr>
          <w:i/>
          <w:sz w:val="20"/>
        </w:rPr>
        <w:t xml:space="preserve"> and notes</w:t>
      </w:r>
      <w:r w:rsidR="00211327" w:rsidRPr="009A2320">
        <w:rPr>
          <w:i/>
          <w:sz w:val="20"/>
        </w:rPr>
        <w:t xml:space="preserve"> </w:t>
      </w:r>
      <w:r w:rsidR="00D97310" w:rsidRPr="009A2320">
        <w:rPr>
          <w:i/>
          <w:sz w:val="20"/>
        </w:rPr>
        <w:t>which</w:t>
      </w:r>
      <w:r w:rsidR="00621BB0" w:rsidRPr="009A2320">
        <w:rPr>
          <w:i/>
          <w:sz w:val="20"/>
        </w:rPr>
        <w:t xml:space="preserve"> may be a useful </w:t>
      </w:r>
      <w:r w:rsidR="00211327" w:rsidRPr="009A2320">
        <w:rPr>
          <w:i/>
          <w:sz w:val="20"/>
        </w:rPr>
        <w:t>reference</w:t>
      </w:r>
      <w:r w:rsidR="00621BB0" w:rsidRPr="009A2320">
        <w:rPr>
          <w:i/>
          <w:sz w:val="20"/>
        </w:rPr>
        <w:t xml:space="preserve"> when setting up the Surge Approach. They are</w:t>
      </w:r>
      <w:r w:rsidR="00211327" w:rsidRPr="009A2320">
        <w:rPr>
          <w:i/>
          <w:sz w:val="20"/>
        </w:rPr>
        <w:t xml:space="preserve"> based on implementation experience in a variety of contexts. </w:t>
      </w:r>
      <w:r w:rsidR="00621BB0" w:rsidRPr="009A2320">
        <w:rPr>
          <w:i/>
          <w:sz w:val="20"/>
        </w:rPr>
        <w:t>T</w:t>
      </w:r>
      <w:r w:rsidR="00B60AE5" w:rsidRPr="009A2320">
        <w:rPr>
          <w:i/>
          <w:sz w:val="20"/>
        </w:rPr>
        <w:t xml:space="preserve">he core tools are included in the </w:t>
      </w:r>
      <w:r w:rsidR="007071DE" w:rsidRPr="009A2320">
        <w:rPr>
          <w:i/>
          <w:sz w:val="20"/>
        </w:rPr>
        <w:t xml:space="preserve">orientation </w:t>
      </w:r>
      <w:r w:rsidR="00B60AE5" w:rsidRPr="009A2320">
        <w:rPr>
          <w:i/>
          <w:sz w:val="20"/>
        </w:rPr>
        <w:t>guide.</w:t>
      </w:r>
      <w:r w:rsidR="007331C3" w:rsidRPr="009A2320">
        <w:rPr>
          <w:i/>
          <w:sz w:val="20"/>
        </w:rPr>
        <w:t xml:space="preserve"> This resource is likely to be updated intermittently as other questions are gathered. </w:t>
      </w:r>
    </w:p>
    <w:p w:rsidR="00BA139A" w:rsidRPr="00D97310" w:rsidRDefault="00BA139A"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B51D17">
        <w:rPr>
          <w:rFonts w:asciiTheme="majorHAnsi" w:eastAsiaTheme="majorEastAsia" w:hAnsiTheme="majorHAnsi"/>
          <w:i/>
          <w:color w:val="007148"/>
          <w:szCs w:val="26"/>
        </w:rPr>
        <w:t>CMAM Surge</w:t>
      </w:r>
      <w:r w:rsidR="00575AFD" w:rsidRPr="00D97310">
        <w:rPr>
          <w:rFonts w:asciiTheme="majorHAnsi" w:eastAsiaTheme="majorEastAsia" w:hAnsiTheme="majorHAnsi"/>
          <w:color w:val="007148"/>
          <w:szCs w:val="26"/>
        </w:rPr>
        <w:t xml:space="preserve"> or </w:t>
      </w:r>
      <w:r w:rsidR="00575AFD" w:rsidRPr="00B51D17">
        <w:rPr>
          <w:rFonts w:asciiTheme="majorHAnsi" w:eastAsiaTheme="majorEastAsia" w:hAnsiTheme="majorHAnsi"/>
          <w:i/>
          <w:color w:val="007148"/>
          <w:szCs w:val="26"/>
        </w:rPr>
        <w:t>Health Surge</w:t>
      </w:r>
      <w:r w:rsidRPr="00D97310">
        <w:rPr>
          <w:rFonts w:asciiTheme="majorHAnsi" w:eastAsiaTheme="majorEastAsia" w:hAnsiTheme="majorHAnsi"/>
          <w:color w:val="007148"/>
          <w:szCs w:val="26"/>
        </w:rPr>
        <w:t xml:space="preserve"> has already been set up the health facility, now that new guidance has been published, do I need to start the set up process again?</w:t>
      </w:r>
    </w:p>
    <w:p w:rsidR="00B60AE5" w:rsidRDefault="00BA139A" w:rsidP="00BA139A">
      <w:pPr>
        <w:spacing w:after="120"/>
        <w:jc w:val="both"/>
      </w:pPr>
      <w:r w:rsidRPr="00B60AE5">
        <w:rPr>
          <w:b/>
        </w:rPr>
        <w:t>No.</w:t>
      </w:r>
      <w:r>
        <w:t xml:space="preserve"> The overall principles of the approach remain unchanged.</w:t>
      </w:r>
      <w:r w:rsidR="00B90DD5">
        <w:t xml:space="preserve"> However, the updated tools and/or</w:t>
      </w:r>
      <w:r>
        <w:t xml:space="preserve"> resources </w:t>
      </w:r>
      <w:r w:rsidR="00B90DD5">
        <w:t>in the updated guide</w:t>
      </w:r>
      <w:r w:rsidR="00B60AE5">
        <w:t xml:space="preserve"> may help</w:t>
      </w:r>
      <w:r>
        <w:t xml:space="preserve"> overcome a</w:t>
      </w:r>
      <w:r w:rsidR="00B60AE5">
        <w:t>n identified</w:t>
      </w:r>
      <w:r>
        <w:t xml:space="preserve"> </w:t>
      </w:r>
      <w:r w:rsidR="00B60AE5">
        <w:t>bottleneck</w:t>
      </w:r>
      <w:r w:rsidR="00575AFD">
        <w:t>s</w:t>
      </w:r>
      <w:r w:rsidR="00B60AE5">
        <w:t xml:space="preserve">. The revised tools have been simplified and are based on learning from implementation across several countries. </w:t>
      </w:r>
    </w:p>
    <w:p w:rsidR="000A1931" w:rsidRPr="00D97310" w:rsidRDefault="00EC6A59"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t xml:space="preserve">If integrating </w:t>
      </w:r>
      <w:r w:rsidR="000A1931" w:rsidRPr="00D97310">
        <w:rPr>
          <w:rFonts w:asciiTheme="majorHAnsi" w:eastAsiaTheme="majorEastAsia" w:hAnsiTheme="majorHAnsi"/>
          <w:color w:val="007148"/>
          <w:szCs w:val="26"/>
        </w:rPr>
        <w:t>the Surge Approach in a hospital</w:t>
      </w:r>
      <w:r w:rsidR="007071DE">
        <w:rPr>
          <w:rFonts w:asciiTheme="majorHAnsi" w:eastAsiaTheme="majorEastAsia" w:hAnsiTheme="majorHAnsi"/>
          <w:color w:val="007148"/>
          <w:szCs w:val="26"/>
        </w:rPr>
        <w:t xml:space="preserve"> setting</w:t>
      </w:r>
      <w:r w:rsidRPr="00D97310">
        <w:rPr>
          <w:rFonts w:asciiTheme="majorHAnsi" w:eastAsiaTheme="majorEastAsia" w:hAnsiTheme="majorHAnsi"/>
          <w:color w:val="007148"/>
          <w:szCs w:val="26"/>
        </w:rPr>
        <w:t xml:space="preserve"> should anything be changed? </w:t>
      </w:r>
      <w:r w:rsidR="000A1931" w:rsidRPr="00D97310">
        <w:rPr>
          <w:rFonts w:asciiTheme="majorHAnsi" w:eastAsiaTheme="majorEastAsia" w:hAnsiTheme="majorHAnsi"/>
          <w:color w:val="007148"/>
          <w:szCs w:val="26"/>
        </w:rPr>
        <w:t xml:space="preserve"> </w:t>
      </w:r>
    </w:p>
    <w:p w:rsidR="00621BB0" w:rsidRDefault="00B90DD5" w:rsidP="00A5753E">
      <w:pPr>
        <w:spacing w:after="120"/>
        <w:jc w:val="both"/>
      </w:pPr>
      <w:r>
        <w:t>Similarly to other health facilities, i</w:t>
      </w:r>
      <w:r w:rsidR="00EC6A59">
        <w:t>f using the Surge Approach in a</w:t>
      </w:r>
      <w:r w:rsidR="000A1931" w:rsidRPr="00EC6A59">
        <w:t xml:space="preserve"> hospital</w:t>
      </w:r>
      <w:r w:rsidR="00EC6A59">
        <w:t xml:space="preserve"> setting</w:t>
      </w:r>
      <w:r w:rsidR="000A1931" w:rsidRPr="00EC6A59">
        <w:t xml:space="preserve"> consider</w:t>
      </w:r>
      <w:r w:rsidR="00EC6A59">
        <w:t xml:space="preserve"> how the </w:t>
      </w:r>
      <w:r>
        <w:t>services are organised</w:t>
      </w:r>
      <w:r w:rsidR="00EC6A59">
        <w:t>,</w:t>
      </w:r>
      <w:r w:rsidR="000A1931" w:rsidRPr="00EC6A59">
        <w:t xml:space="preserve"> what influences </w:t>
      </w:r>
      <w:r w:rsidR="00EC6A59">
        <w:t xml:space="preserve">the </w:t>
      </w:r>
      <w:r w:rsidR="000A1931" w:rsidRPr="00EC6A59">
        <w:t>workload most significantly</w:t>
      </w:r>
      <w:r>
        <w:t>, and how</w:t>
      </w:r>
      <w:r w:rsidR="00EC6A59">
        <w:t xml:space="preserve"> the staff and resources are organised (e.g. dedicated to that service or shared with other departments). </w:t>
      </w:r>
      <w:r>
        <w:t xml:space="preserve">Using this information </w:t>
      </w:r>
      <w:r w:rsidR="00987C6F">
        <w:t xml:space="preserve">decide how the tools in the </w:t>
      </w:r>
      <w:r>
        <w:t>Surge Approach</w:t>
      </w:r>
      <w:r w:rsidR="00987C6F">
        <w:t xml:space="preserve"> could add the most value</w:t>
      </w:r>
      <w:r>
        <w:t xml:space="preserve">. If available, additional information such as child illness consultation trends in health centres in the hospital catchment area might give an indication of when there might be a peak in consultations in the hospital (e.g. an increase of OTP admissions in several health centres will likely lead to an increase in inpatient referrals). </w:t>
      </w:r>
    </w:p>
    <w:p w:rsidR="00621BB0" w:rsidRPr="00D97310" w:rsidRDefault="00621BB0"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t>Another way to complete the seasonal and events calendar (Tool 1):</w:t>
      </w:r>
    </w:p>
    <w:p w:rsidR="00621BB0" w:rsidRDefault="00621BB0" w:rsidP="00D97310">
      <w:r>
        <w:t xml:space="preserve">Once you have completed </w:t>
      </w:r>
      <w:r w:rsidR="00987C6F">
        <w:t>the</w:t>
      </w:r>
      <w:r>
        <w:t xml:space="preserve"> seasonal and events calendar (Tool 1) a</w:t>
      </w:r>
      <w:r w:rsidR="00987C6F">
        <w:t>nd trends analysis (Tool 2), p</w:t>
      </w:r>
      <w:r>
        <w:t>eak periods can be marked on the seasonal and events calendar. For example with a M, or D, for Malaria or Diarrhoea peaks respectively</w:t>
      </w:r>
      <w:r w:rsidR="00987C6F">
        <w:t>.</w:t>
      </w:r>
      <w:r>
        <w:t xml:space="preserve"> This can be helpful there is a limitation on the number of charts that can be placed on the wall</w:t>
      </w:r>
      <w:r w:rsidR="00987C6F">
        <w:t xml:space="preserve"> (See Figure 1)</w:t>
      </w:r>
      <w:r>
        <w:t>.</w:t>
      </w:r>
    </w:p>
    <w:p w:rsidR="00621BB0" w:rsidRPr="00B51D17" w:rsidRDefault="00621BB0" w:rsidP="00B51D17">
      <w:r>
        <w:t xml:space="preserve">On the Y axis – </w:t>
      </w:r>
      <w:r w:rsidRPr="00987C6F">
        <w:rPr>
          <w:i/>
        </w:rPr>
        <w:t>High</w:t>
      </w:r>
      <w:r>
        <w:t xml:space="preserve"> and </w:t>
      </w:r>
      <w:r w:rsidRPr="00987C6F">
        <w:rPr>
          <w:i/>
        </w:rPr>
        <w:t>Low</w:t>
      </w:r>
      <w:r>
        <w:t xml:space="preserve"> can be included to illustrate which of the factors increase or decrease the number of consultations.</w:t>
      </w:r>
      <w:r w:rsidR="00B51D17">
        <w:t xml:space="preserve"> </w:t>
      </w:r>
      <w:r w:rsidRPr="00D03578">
        <w:t xml:space="preserve">Depending on how the </w:t>
      </w:r>
      <w:r>
        <w:t xml:space="preserve">health </w:t>
      </w:r>
      <w:r w:rsidRPr="00D03578">
        <w:t xml:space="preserve">facility is organised, it can be useful to plot </w:t>
      </w:r>
      <w:r>
        <w:t xml:space="preserve">total consultations (either for the </w:t>
      </w:r>
      <w:r w:rsidRPr="00D97310">
        <w:rPr>
          <w:b/>
        </w:rPr>
        <w:t>whole facility</w:t>
      </w:r>
      <w:r>
        <w:t xml:space="preserve"> or for the</w:t>
      </w:r>
      <w:r w:rsidRPr="00D97310">
        <w:rPr>
          <w:b/>
        </w:rPr>
        <w:t xml:space="preserve"> under-5 outpatient</w:t>
      </w:r>
      <w:r>
        <w:t>) to give a better understanding of overall workload. It can be included on the seasonal and events calendar</w:t>
      </w:r>
      <w:r w:rsidR="00987C6F">
        <w:t xml:space="preserve"> (See Figure 1)</w:t>
      </w:r>
      <w:r>
        <w:t>.</w:t>
      </w:r>
    </w:p>
    <w:p w:rsidR="00621BB0" w:rsidRDefault="00621BB0" w:rsidP="00621BB0">
      <w:r w:rsidRPr="00D97310">
        <w:rPr>
          <w:b/>
        </w:rPr>
        <w:t>Figure 1:</w:t>
      </w:r>
      <w:r>
        <w:t xml:space="preserve"> Example of seasonal and events calendar with peak common child illnesses</w:t>
      </w:r>
      <w:r w:rsidR="00D97310">
        <w:t xml:space="preserve"> are</w:t>
      </w:r>
      <w:r>
        <w:t xml:space="preserve"> marked and total consultations. </w:t>
      </w:r>
    </w:p>
    <w:p w:rsidR="00621BB0" w:rsidRDefault="00621BB0" w:rsidP="00D97310">
      <w:pPr>
        <w:jc w:val="center"/>
      </w:pPr>
      <w:r w:rsidRPr="00083103">
        <w:rPr>
          <w:noProof/>
          <w:lang w:eastAsia="en-IE"/>
        </w:rPr>
        <w:drawing>
          <wp:inline distT="0" distB="0" distL="0" distR="0" wp14:anchorId="42C44E7E" wp14:editId="0003FECF">
            <wp:extent cx="2797521" cy="192459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4499" cy="1929397"/>
                    </a:xfrm>
                    <a:prstGeom prst="rect">
                      <a:avLst/>
                    </a:prstGeom>
                    <a:noFill/>
                    <a:ln>
                      <a:noFill/>
                    </a:ln>
                  </pic:spPr>
                </pic:pic>
              </a:graphicData>
            </a:graphic>
          </wp:inline>
        </w:drawing>
      </w:r>
    </w:p>
    <w:p w:rsidR="007331C3" w:rsidRDefault="007331C3" w:rsidP="00D97310">
      <w:pPr>
        <w:jc w:val="center"/>
      </w:pPr>
    </w:p>
    <w:p w:rsidR="007331C3" w:rsidRPr="00D97310" w:rsidRDefault="007331C3" w:rsidP="007331C3">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lastRenderedPageBreak/>
        <w:t xml:space="preserve">Additional note on completing capacity review </w:t>
      </w:r>
      <w:r>
        <w:rPr>
          <w:rFonts w:asciiTheme="majorHAnsi" w:eastAsiaTheme="majorEastAsia" w:hAnsiTheme="majorHAnsi"/>
          <w:color w:val="007148"/>
          <w:szCs w:val="26"/>
        </w:rPr>
        <w:t xml:space="preserve">(Step 3) </w:t>
      </w:r>
      <w:r w:rsidRPr="00D97310">
        <w:rPr>
          <w:rFonts w:asciiTheme="majorHAnsi" w:eastAsiaTheme="majorEastAsia" w:hAnsiTheme="majorHAnsi"/>
          <w:color w:val="007148"/>
          <w:szCs w:val="26"/>
        </w:rPr>
        <w:t>and defining a normal and manageable workload:</w:t>
      </w:r>
    </w:p>
    <w:p w:rsidR="00BE6C4D" w:rsidRDefault="007331C3" w:rsidP="00BE6C4D">
      <w:pPr>
        <w:jc w:val="both"/>
      </w:pPr>
      <w:r w:rsidRPr="00D97310">
        <w:rPr>
          <w:b/>
        </w:rPr>
        <w:t>Resource 3: Defining a normal and manageable</w:t>
      </w:r>
      <w:r w:rsidRPr="00EC6A59">
        <w:t xml:space="preserve"> </w:t>
      </w:r>
      <w:r w:rsidRPr="00D97310">
        <w:rPr>
          <w:b/>
        </w:rPr>
        <w:t>workload</w:t>
      </w:r>
      <w:r w:rsidRPr="00D97310">
        <w:rPr>
          <w:bCs/>
        </w:rPr>
        <w:t xml:space="preserve"> </w:t>
      </w:r>
      <w:r w:rsidRPr="00982CF1">
        <w:t>can be used to</w:t>
      </w:r>
      <w:r w:rsidR="00BE6C4D">
        <w:t xml:space="preserve"> help the health facility team define</w:t>
      </w:r>
      <w:r w:rsidRPr="00982CF1">
        <w:t xml:space="preserve"> the number of consultations </w:t>
      </w:r>
      <w:r>
        <w:t>of the priority child illness</w:t>
      </w:r>
      <w:r w:rsidR="00BE6C4D">
        <w:t>(es)</w:t>
      </w:r>
      <w:r>
        <w:t xml:space="preserve"> </w:t>
      </w:r>
      <w:r w:rsidRPr="00982CF1">
        <w:t xml:space="preserve">which </w:t>
      </w:r>
      <w:r w:rsidR="00BE6C4D">
        <w:t>would be</w:t>
      </w:r>
      <w:r>
        <w:t xml:space="preserve"> manage</w:t>
      </w:r>
      <w:r w:rsidR="00BE6C4D">
        <w:t>able</w:t>
      </w:r>
      <w:r>
        <w:t xml:space="preserve"> without compromising the quality of service delivery. The </w:t>
      </w:r>
      <w:r w:rsidR="00BE6C4D">
        <w:t>resource</w:t>
      </w:r>
      <w:r>
        <w:t xml:space="preserve"> collates the information gathered </w:t>
      </w:r>
      <w:r w:rsidRPr="006765B5">
        <w:t xml:space="preserve">during the capacity review, </w:t>
      </w:r>
      <w:r>
        <w:t>and</w:t>
      </w:r>
      <w:r w:rsidRPr="006765B5">
        <w:t xml:space="preserve"> give </w:t>
      </w:r>
      <w:r w:rsidRPr="00BE6C4D">
        <w:rPr>
          <w:u w:val="single"/>
        </w:rPr>
        <w:t>an estimated</w:t>
      </w:r>
      <w:r w:rsidRPr="006765B5">
        <w:t xml:space="preserve"> </w:t>
      </w:r>
      <w:r w:rsidR="00987C6F">
        <w:t xml:space="preserve">‘normal’ </w:t>
      </w:r>
      <w:r w:rsidRPr="006765B5">
        <w:t>number of consultations per months.</w:t>
      </w:r>
      <w:r w:rsidRPr="00EC6A59">
        <w:rPr>
          <w:bCs/>
        </w:rPr>
        <w:t xml:space="preserve"> </w:t>
      </w:r>
      <w:r w:rsidRPr="007331C3">
        <w:rPr>
          <w:bCs/>
        </w:rPr>
        <w:t xml:space="preserve">This </w:t>
      </w:r>
      <w:r>
        <w:rPr>
          <w:bCs/>
        </w:rPr>
        <w:t xml:space="preserve">figure </w:t>
      </w:r>
      <w:r w:rsidRPr="007331C3">
        <w:rPr>
          <w:bCs/>
        </w:rPr>
        <w:t xml:space="preserve">can be useful to guide the discussion between stakeholders when deciding on what is </w:t>
      </w:r>
      <w:r w:rsidRPr="00BE6C4D">
        <w:rPr>
          <w:bCs/>
          <w:u w:val="single"/>
        </w:rPr>
        <w:t>normal and manageable</w:t>
      </w:r>
      <w:r w:rsidR="00324152">
        <w:rPr>
          <w:bCs/>
          <w:u w:val="single"/>
        </w:rPr>
        <w:t xml:space="preserve">; </w:t>
      </w:r>
      <w:r w:rsidR="00324152" w:rsidRPr="00324152">
        <w:rPr>
          <w:bCs/>
        </w:rPr>
        <w:t>comparing with the average and range of monthly consultations for the priority child illness(es)</w:t>
      </w:r>
      <w:r w:rsidRPr="00324152">
        <w:rPr>
          <w:bCs/>
        </w:rPr>
        <w:t>.</w:t>
      </w:r>
      <w:r w:rsidRPr="007331C3">
        <w:rPr>
          <w:bCs/>
        </w:rPr>
        <w:t xml:space="preserve"> </w:t>
      </w:r>
      <w:r w:rsidR="00BE6C4D">
        <w:t xml:space="preserve">There is a worked example in the resource for illustrative purposes. This resource </w:t>
      </w:r>
      <w:r w:rsidR="00BE6C4D" w:rsidRPr="00987C6F">
        <w:rPr>
          <w:u w:val="single"/>
        </w:rPr>
        <w:t>should not</w:t>
      </w:r>
      <w:r w:rsidR="00BE6C4D">
        <w:t xml:space="preserve"> be used in isolation and should only guide discussion on what is a ‘normal and management’ number of monthly consultations for the priority child illness(es)</w:t>
      </w:r>
      <w:r w:rsidR="009A2320">
        <w:t xml:space="preserve"> – see Step 3 in the orientation guide for more details</w:t>
      </w:r>
      <w:r w:rsidR="00BE6C4D">
        <w:t xml:space="preserve">. </w:t>
      </w:r>
    </w:p>
    <w:p w:rsidR="00621BB0" w:rsidRPr="00BE6C4D" w:rsidRDefault="007071DE" w:rsidP="00BE6C4D">
      <w:pPr>
        <w:pStyle w:val="ListParagraph"/>
        <w:numPr>
          <w:ilvl w:val="0"/>
          <w:numId w:val="13"/>
        </w:numPr>
        <w:jc w:val="both"/>
        <w:rPr>
          <w:rFonts w:asciiTheme="majorHAnsi" w:eastAsiaTheme="majorEastAsia" w:hAnsiTheme="majorHAnsi"/>
          <w:color w:val="007148"/>
          <w:szCs w:val="26"/>
        </w:rPr>
      </w:pPr>
      <w:r w:rsidRPr="00BE6C4D">
        <w:rPr>
          <w:rFonts w:asciiTheme="majorHAnsi" w:eastAsiaTheme="majorEastAsia" w:hAnsiTheme="majorHAnsi"/>
          <w:i/>
          <w:color w:val="007148"/>
          <w:szCs w:val="26"/>
        </w:rPr>
        <w:t>CMAM Surge</w:t>
      </w:r>
      <w:r w:rsidRPr="00BE6C4D">
        <w:rPr>
          <w:rFonts w:asciiTheme="majorHAnsi" w:eastAsiaTheme="majorEastAsia" w:hAnsiTheme="majorHAnsi"/>
          <w:color w:val="007148"/>
          <w:szCs w:val="26"/>
        </w:rPr>
        <w:t xml:space="preserve"> is established in the health facility, </w:t>
      </w:r>
      <w:r w:rsidR="00621BB0" w:rsidRPr="00BE6C4D">
        <w:rPr>
          <w:rFonts w:asciiTheme="majorHAnsi" w:eastAsiaTheme="majorEastAsia" w:hAnsiTheme="majorHAnsi"/>
          <w:color w:val="007148"/>
          <w:szCs w:val="26"/>
        </w:rPr>
        <w:t xml:space="preserve">I want to add in thresholds for another </w:t>
      </w:r>
      <w:r w:rsidRPr="00BE6C4D">
        <w:rPr>
          <w:rFonts w:asciiTheme="majorHAnsi" w:eastAsiaTheme="majorEastAsia" w:hAnsiTheme="majorHAnsi"/>
          <w:color w:val="007148"/>
          <w:szCs w:val="26"/>
        </w:rPr>
        <w:t xml:space="preserve">common </w:t>
      </w:r>
      <w:r w:rsidR="00621BB0" w:rsidRPr="00BE6C4D">
        <w:rPr>
          <w:rFonts w:asciiTheme="majorHAnsi" w:eastAsiaTheme="majorEastAsia" w:hAnsiTheme="majorHAnsi"/>
          <w:color w:val="007148"/>
          <w:szCs w:val="26"/>
        </w:rPr>
        <w:t>child illness</w:t>
      </w:r>
      <w:r w:rsidR="00B51D17" w:rsidRPr="00BE6C4D">
        <w:rPr>
          <w:rFonts w:asciiTheme="majorHAnsi" w:eastAsiaTheme="majorEastAsia" w:hAnsiTheme="majorHAnsi"/>
          <w:color w:val="007148"/>
          <w:szCs w:val="26"/>
        </w:rPr>
        <w:t xml:space="preserve"> which has </w:t>
      </w:r>
      <w:r w:rsidR="00987C6F">
        <w:rPr>
          <w:rFonts w:asciiTheme="majorHAnsi" w:eastAsiaTheme="majorEastAsia" w:hAnsiTheme="majorHAnsi"/>
          <w:color w:val="007148"/>
          <w:szCs w:val="26"/>
        </w:rPr>
        <w:t xml:space="preserve">seasonal </w:t>
      </w:r>
      <w:r w:rsidR="00B51D17" w:rsidRPr="00BE6C4D">
        <w:rPr>
          <w:rFonts w:asciiTheme="majorHAnsi" w:eastAsiaTheme="majorEastAsia" w:hAnsiTheme="majorHAnsi"/>
          <w:color w:val="007148"/>
          <w:szCs w:val="26"/>
        </w:rPr>
        <w:t>fluctuations and impacts workload (i.e. a priority child illness)</w:t>
      </w:r>
      <w:r w:rsidR="00621BB0" w:rsidRPr="00BE6C4D">
        <w:rPr>
          <w:rFonts w:asciiTheme="majorHAnsi" w:eastAsiaTheme="majorEastAsia" w:hAnsiTheme="majorHAnsi"/>
          <w:color w:val="007148"/>
          <w:szCs w:val="26"/>
        </w:rPr>
        <w:t>, do I need to start the set up process again?</w:t>
      </w:r>
    </w:p>
    <w:p w:rsidR="007331C3" w:rsidRPr="00406718" w:rsidRDefault="00621BB0" w:rsidP="00621BB0">
      <w:pPr>
        <w:spacing w:after="120" w:line="240" w:lineRule="auto"/>
        <w:jc w:val="both"/>
      </w:pPr>
      <w:r w:rsidRPr="0075147E">
        <w:rPr>
          <w:b/>
        </w:rPr>
        <w:t>No.</w:t>
      </w:r>
      <w:r>
        <w:t xml:space="preserve"> The overall principals of the approach remain unchanged regardless of whether you are applying them to SAM or other</w:t>
      </w:r>
      <w:r w:rsidR="00B51D17">
        <w:t xml:space="preserve"> another common</w:t>
      </w:r>
      <w:r>
        <w:t xml:space="preserve"> child illness. The important thing to remember is that once the thresholds have been set, you should consider how the two sets of thresholds might interact together (e.g. if the alert threshold for malaria is crossed, how would t</w:t>
      </w:r>
      <w:r w:rsidR="00B51D17">
        <w:t>hat impact the health facility’s</w:t>
      </w:r>
      <w:r>
        <w:t xml:space="preserve"> capacity to manage SAM</w:t>
      </w:r>
      <w:r w:rsidR="00B51D17">
        <w:t xml:space="preserve"> consultations)</w:t>
      </w:r>
      <w:r>
        <w:t xml:space="preserve">. </w:t>
      </w:r>
    </w:p>
    <w:p w:rsidR="00621BB0" w:rsidRPr="00D97310" w:rsidRDefault="00621BB0"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t xml:space="preserve">Why have the threshold phases been reduced to three? </w:t>
      </w:r>
    </w:p>
    <w:p w:rsidR="007331C3" w:rsidRPr="007331C3" w:rsidRDefault="00621BB0" w:rsidP="00621BB0">
      <w:pPr>
        <w:spacing w:after="120" w:line="240" w:lineRule="auto"/>
        <w:jc w:val="both"/>
      </w:pPr>
      <w:r>
        <w:rPr>
          <w:rFonts w:cs="Calibri"/>
        </w:rPr>
        <w:t xml:space="preserve">Reviews of </w:t>
      </w:r>
      <w:r w:rsidRPr="00B51D17">
        <w:rPr>
          <w:rFonts w:cs="Calibri"/>
          <w:i/>
        </w:rPr>
        <w:t>CMAM Surge</w:t>
      </w:r>
      <w:r>
        <w:rPr>
          <w:rFonts w:cs="Calibri"/>
        </w:rPr>
        <w:t xml:space="preserve"> (and </w:t>
      </w:r>
      <w:r w:rsidRPr="00B51D17">
        <w:rPr>
          <w:rFonts w:cs="Calibri"/>
          <w:i/>
        </w:rPr>
        <w:t>Health Surge</w:t>
      </w:r>
      <w:r>
        <w:rPr>
          <w:rFonts w:cs="Calibri"/>
        </w:rPr>
        <w:t xml:space="preserve">) </w:t>
      </w:r>
      <w:r w:rsidR="00987C6F">
        <w:rPr>
          <w:rFonts w:cs="Calibri"/>
        </w:rPr>
        <w:t xml:space="preserve">showed </w:t>
      </w:r>
      <w:r>
        <w:rPr>
          <w:rFonts w:cs="Calibri"/>
        </w:rPr>
        <w:t xml:space="preserve">that there was </w:t>
      </w:r>
      <w:r w:rsidR="00987C6F">
        <w:rPr>
          <w:rFonts w:cs="Calibri"/>
        </w:rPr>
        <w:t xml:space="preserve">often </w:t>
      </w:r>
      <w:r>
        <w:rPr>
          <w:rFonts w:cs="Calibri"/>
        </w:rPr>
        <w:t xml:space="preserve">minimal difference between the actions which were set for </w:t>
      </w:r>
      <w:r w:rsidRPr="00B51D17">
        <w:rPr>
          <w:rFonts w:cs="Calibri"/>
          <w:i/>
        </w:rPr>
        <w:t>serious</w:t>
      </w:r>
      <w:r>
        <w:rPr>
          <w:rFonts w:cs="Calibri"/>
        </w:rPr>
        <w:t xml:space="preserve"> and </w:t>
      </w:r>
      <w:r w:rsidR="00B51D17">
        <w:rPr>
          <w:rFonts w:cs="Calibri"/>
          <w:i/>
        </w:rPr>
        <w:t>emergency</w:t>
      </w:r>
      <w:r>
        <w:rPr>
          <w:rFonts w:cs="Calibri"/>
        </w:rPr>
        <w:t xml:space="preserve"> phases, </w:t>
      </w:r>
      <w:r w:rsidR="00B51D17">
        <w:rPr>
          <w:rFonts w:cs="Calibri"/>
        </w:rPr>
        <w:t xml:space="preserve">with </w:t>
      </w:r>
      <w:r>
        <w:rPr>
          <w:rFonts w:cs="Calibri"/>
        </w:rPr>
        <w:t>both requiring external s</w:t>
      </w:r>
      <w:r w:rsidR="00987C6F">
        <w:rPr>
          <w:rFonts w:cs="Calibri"/>
        </w:rPr>
        <w:t xml:space="preserve">upport. Equally using the term </w:t>
      </w:r>
      <w:r w:rsidRPr="00987C6F">
        <w:rPr>
          <w:rFonts w:cs="Calibri"/>
          <w:i/>
        </w:rPr>
        <w:t>emergency</w:t>
      </w:r>
      <w:r>
        <w:rPr>
          <w:rFonts w:cs="Calibri"/>
        </w:rPr>
        <w:t xml:space="preserve"> at a health facility level was often confusing, as the term is generally used for wide scale deterioration in a situation. </w:t>
      </w:r>
      <w:r w:rsidR="00B51D17">
        <w:t xml:space="preserve">In the updated guide, the process for setting thresholds has been simplified focusing on establishing thresholds for two phases – </w:t>
      </w:r>
      <w:r w:rsidR="00B51D17" w:rsidRPr="006362BC">
        <w:rPr>
          <w:b/>
          <w:bCs/>
        </w:rPr>
        <w:t>alert</w:t>
      </w:r>
      <w:r w:rsidR="00B51D17">
        <w:t xml:space="preserve">, when internal reorganisation will be needed to continue to deliver quality services, and </w:t>
      </w:r>
      <w:r w:rsidR="00B51D17" w:rsidRPr="006362BC">
        <w:rPr>
          <w:b/>
          <w:bCs/>
        </w:rPr>
        <w:t>serious</w:t>
      </w:r>
      <w:r w:rsidR="00B51D17">
        <w:t>, when external support will be required.</w:t>
      </w:r>
    </w:p>
    <w:p w:rsidR="00621BB0" w:rsidRPr="00D97310" w:rsidRDefault="00621BB0"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t>Can the phase names for thresholds be changed?</w:t>
      </w:r>
    </w:p>
    <w:p w:rsidR="007331C3" w:rsidRPr="00001571" w:rsidRDefault="00621BB0" w:rsidP="00621BB0">
      <w:pPr>
        <w:spacing w:after="120" w:line="240" w:lineRule="auto"/>
        <w:jc w:val="both"/>
        <w:rPr>
          <w:rFonts w:cs="Calibri"/>
        </w:rPr>
      </w:pPr>
      <w:r w:rsidRPr="00001571">
        <w:rPr>
          <w:rFonts w:cs="Calibri"/>
        </w:rPr>
        <w:t xml:space="preserve">Phase names can and should </w:t>
      </w:r>
      <w:r>
        <w:rPr>
          <w:rFonts w:cs="Calibri"/>
        </w:rPr>
        <w:t xml:space="preserve">be </w:t>
      </w:r>
      <w:r w:rsidRPr="00001571">
        <w:rPr>
          <w:rFonts w:cs="Calibri"/>
        </w:rPr>
        <w:t xml:space="preserve">defined by each country </w:t>
      </w:r>
      <w:r>
        <w:rPr>
          <w:rFonts w:cs="Calibri"/>
        </w:rPr>
        <w:t xml:space="preserve">to align with terminology which is generally used in country. For example, some countries have preferred to use </w:t>
      </w:r>
      <w:r w:rsidRPr="00B51D17">
        <w:rPr>
          <w:rFonts w:cs="Calibri"/>
          <w:i/>
        </w:rPr>
        <w:t>alarm</w:t>
      </w:r>
      <w:r>
        <w:rPr>
          <w:rFonts w:cs="Calibri"/>
        </w:rPr>
        <w:t xml:space="preserve"> instead of </w:t>
      </w:r>
      <w:r w:rsidRPr="00B51D17">
        <w:rPr>
          <w:rFonts w:cs="Calibri"/>
          <w:i/>
        </w:rPr>
        <w:t>serious</w:t>
      </w:r>
      <w:r>
        <w:rPr>
          <w:rFonts w:cs="Calibri"/>
        </w:rPr>
        <w:t xml:space="preserve">.  </w:t>
      </w:r>
    </w:p>
    <w:p w:rsidR="00621BB0" w:rsidRPr="00D97310" w:rsidRDefault="00621BB0" w:rsidP="00D97310">
      <w:pPr>
        <w:pStyle w:val="ListParagraph"/>
        <w:numPr>
          <w:ilvl w:val="0"/>
          <w:numId w:val="13"/>
        </w:numPr>
        <w:spacing w:after="120" w:line="240" w:lineRule="auto"/>
        <w:jc w:val="both"/>
        <w:rPr>
          <w:rFonts w:asciiTheme="majorHAnsi" w:eastAsiaTheme="majorEastAsia" w:hAnsiTheme="majorHAnsi"/>
          <w:color w:val="007148"/>
          <w:szCs w:val="26"/>
        </w:rPr>
      </w:pPr>
      <w:r w:rsidRPr="00D97310">
        <w:rPr>
          <w:rFonts w:asciiTheme="majorHAnsi" w:eastAsiaTheme="majorEastAsia" w:hAnsiTheme="majorHAnsi"/>
          <w:color w:val="007148"/>
          <w:szCs w:val="26"/>
        </w:rPr>
        <w:t>A note on ‘investigation thresholds’:</w:t>
      </w:r>
    </w:p>
    <w:p w:rsidR="007331C3" w:rsidRDefault="00621BB0" w:rsidP="00621BB0">
      <w:pPr>
        <w:spacing w:line="240" w:lineRule="auto"/>
        <w:jc w:val="both"/>
      </w:pPr>
      <w:r>
        <w:t xml:space="preserve">In the pilot </w:t>
      </w:r>
      <w:r w:rsidRPr="00B51D17">
        <w:rPr>
          <w:i/>
        </w:rPr>
        <w:t>Health Surge</w:t>
      </w:r>
      <w:r>
        <w:t xml:space="preserve"> tools, an investigation threshold was proposed as a way to monitor overall workload in the health facility. </w:t>
      </w:r>
      <w:r w:rsidR="007331C3">
        <w:t xml:space="preserve">The updated guide </w:t>
      </w:r>
      <w:r w:rsidR="007331C3" w:rsidRPr="007331C3">
        <w:rPr>
          <w:u w:val="single"/>
        </w:rPr>
        <w:t>does not</w:t>
      </w:r>
      <w:r w:rsidR="007331C3">
        <w:t xml:space="preserve"> recommend this as a standard process. </w:t>
      </w:r>
    </w:p>
    <w:p w:rsidR="007331C3" w:rsidRPr="007331C3" w:rsidRDefault="00621BB0" w:rsidP="007331C3">
      <w:pPr>
        <w:spacing w:after="120"/>
        <w:jc w:val="both"/>
      </w:pPr>
      <w:r>
        <w:t xml:space="preserve">It can be </w:t>
      </w:r>
      <w:r w:rsidR="007331C3">
        <w:t xml:space="preserve">worth considering what </w:t>
      </w:r>
      <w:r>
        <w:t>a lower than normal number of monthly consultations for the h</w:t>
      </w:r>
      <w:r w:rsidR="007331C3">
        <w:t>ealth facility</w:t>
      </w:r>
      <w:r w:rsidR="00987C6F">
        <w:t xml:space="preserve"> would be;</w:t>
      </w:r>
      <w:r w:rsidR="007331C3">
        <w:t xml:space="preserve"> which could</w:t>
      </w:r>
      <w:r>
        <w:t xml:space="preserve"> trigger an </w:t>
      </w:r>
      <w:r w:rsidR="007331C3">
        <w:t>‘</w:t>
      </w:r>
      <w:r>
        <w:t>investigation</w:t>
      </w:r>
      <w:r w:rsidR="007331C3">
        <w:t>’</w:t>
      </w:r>
      <w:r>
        <w:t xml:space="preserve"> to understand why </w:t>
      </w:r>
      <w:r w:rsidR="007331C3">
        <w:t>this is (e.g. road block or rumours impacting heath seeking behaviours)</w:t>
      </w:r>
      <w:r>
        <w:t>.</w:t>
      </w:r>
      <w:r w:rsidR="00987C6F">
        <w:t xml:space="preserve"> These reflections should be considering when reviewing the seasonal and events calendar (Tool 1) on a monthly basis. </w:t>
      </w:r>
    </w:p>
    <w:p w:rsidR="00D97310" w:rsidRDefault="007071DE" w:rsidP="007331C3">
      <w:pPr>
        <w:pStyle w:val="ListParagraph"/>
        <w:numPr>
          <w:ilvl w:val="0"/>
          <w:numId w:val="13"/>
        </w:numPr>
        <w:spacing w:after="120" w:line="240" w:lineRule="auto"/>
        <w:jc w:val="both"/>
        <w:rPr>
          <w:rFonts w:asciiTheme="majorHAnsi" w:eastAsiaTheme="majorEastAsia" w:hAnsiTheme="majorHAnsi"/>
          <w:color w:val="007148"/>
          <w:szCs w:val="26"/>
        </w:rPr>
      </w:pPr>
      <w:r w:rsidRPr="007331C3">
        <w:rPr>
          <w:rFonts w:asciiTheme="majorHAnsi" w:eastAsiaTheme="majorEastAsia" w:hAnsiTheme="majorHAnsi"/>
          <w:color w:val="007148"/>
          <w:szCs w:val="26"/>
        </w:rPr>
        <w:t xml:space="preserve">Can I create a </w:t>
      </w:r>
      <w:r w:rsidRPr="00A33E00">
        <w:rPr>
          <w:rFonts w:asciiTheme="majorHAnsi" w:eastAsiaTheme="majorEastAsia" w:hAnsiTheme="majorHAnsi"/>
          <w:i/>
          <w:color w:val="007148"/>
          <w:szCs w:val="26"/>
        </w:rPr>
        <w:t>new</w:t>
      </w:r>
      <w:r w:rsidRPr="007331C3">
        <w:rPr>
          <w:rFonts w:asciiTheme="majorHAnsi" w:eastAsiaTheme="majorEastAsia" w:hAnsiTheme="majorHAnsi"/>
          <w:color w:val="007148"/>
          <w:szCs w:val="26"/>
        </w:rPr>
        <w:t xml:space="preserve"> seasonal and events c</w:t>
      </w:r>
      <w:r w:rsidR="007331C3" w:rsidRPr="007331C3">
        <w:rPr>
          <w:rFonts w:asciiTheme="majorHAnsi" w:eastAsiaTheme="majorEastAsia" w:hAnsiTheme="majorHAnsi"/>
          <w:color w:val="007148"/>
          <w:szCs w:val="26"/>
        </w:rPr>
        <w:t xml:space="preserve">alendar for monitoring purposes? </w:t>
      </w:r>
    </w:p>
    <w:p w:rsidR="00BA139A" w:rsidRDefault="00D97310" w:rsidP="00CE05E2">
      <w:r w:rsidRPr="00EC6A59">
        <w:t>If preferred</w:t>
      </w:r>
      <w:r w:rsidR="00A33E00">
        <w:t>,</w:t>
      </w:r>
      <w:r w:rsidRPr="00EC6A59">
        <w:t xml:space="preserve"> when monitoring seasonal and events trends, a new calendar can be </w:t>
      </w:r>
      <w:r>
        <w:t>made, rather than reviewing and marking changes to the historical seasonal and events calendar</w:t>
      </w:r>
      <w:r w:rsidR="007331C3">
        <w:t xml:space="preserve"> (Tool 1)</w:t>
      </w:r>
      <w:r>
        <w:t>.</w:t>
      </w:r>
      <w:r w:rsidR="007331C3">
        <w:t xml:space="preserve"> The revised guide proposes this to try and limit the number of wall charts</w:t>
      </w:r>
      <w:r w:rsidR="00CE05E2">
        <w:t>.</w:t>
      </w:r>
    </w:p>
    <w:p w:rsidR="00BA139A" w:rsidRPr="00CE05E2" w:rsidRDefault="00CE05E2" w:rsidP="00CE05E2">
      <w:pPr>
        <w:jc w:val="center"/>
        <w:rPr>
          <w:i/>
        </w:rPr>
      </w:pPr>
      <w:r w:rsidRPr="00CE05E2">
        <w:rPr>
          <w:i/>
        </w:rPr>
        <w:lastRenderedPageBreak/>
        <w:t xml:space="preserve">If your questions has not been answered here, please contact Concern on </w:t>
      </w:r>
      <w:hyperlink r:id="rId11" w:history="1">
        <w:r w:rsidRPr="00CE05E2">
          <w:rPr>
            <w:rStyle w:val="Hyperlink"/>
            <w:i/>
          </w:rPr>
          <w:t>thesurgeapproach@conce</w:t>
        </w:r>
        <w:bookmarkStart w:id="0" w:name="_GoBack"/>
        <w:bookmarkEnd w:id="0"/>
        <w:r w:rsidRPr="00CE05E2">
          <w:rPr>
            <w:rStyle w:val="Hyperlink"/>
            <w:i/>
          </w:rPr>
          <w:t>rn.net</w:t>
        </w:r>
      </w:hyperlink>
    </w:p>
    <w:sectPr w:rsidR="00BA139A" w:rsidRPr="00CE05E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304" w:rsidRDefault="00F22304" w:rsidP="001F4E5A">
      <w:pPr>
        <w:spacing w:after="0" w:line="240" w:lineRule="auto"/>
      </w:pPr>
      <w:r>
        <w:separator/>
      </w:r>
    </w:p>
  </w:endnote>
  <w:endnote w:type="continuationSeparator" w:id="0">
    <w:p w:rsidR="00F22304" w:rsidRDefault="00F22304" w:rsidP="001F4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kzidenz Grotesk BE">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A79" w:rsidRDefault="00E62A79">
    <w:pPr>
      <w:pStyle w:val="Footer"/>
      <w:jc w:val="center"/>
    </w:pPr>
    <w:r>
      <w:fldChar w:fldCharType="begin"/>
    </w:r>
    <w:r>
      <w:instrText xml:space="preserve"> PAGE   \* MERGEFORMAT </w:instrText>
    </w:r>
    <w:r>
      <w:fldChar w:fldCharType="separate"/>
    </w:r>
    <w:r w:rsidR="009F6E90">
      <w:rPr>
        <w:noProof/>
      </w:rPr>
      <w:t>3</w:t>
    </w:r>
    <w:r>
      <w:fldChar w:fldCharType="end"/>
    </w:r>
  </w:p>
  <w:p w:rsidR="00E62A79" w:rsidRPr="00F724D2" w:rsidRDefault="00F724D2" w:rsidP="00F724D2">
    <w:pPr>
      <w:pStyle w:val="Footer"/>
      <w:jc w:val="right"/>
      <w:rPr>
        <w:b/>
      </w:rPr>
    </w:pPr>
    <w:r w:rsidRPr="00F724D2">
      <w:rPr>
        <w:b/>
      </w:rPr>
      <w:t>Concern Worldwide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304" w:rsidRDefault="00F22304" w:rsidP="001F4E5A">
      <w:pPr>
        <w:spacing w:after="0" w:line="240" w:lineRule="auto"/>
      </w:pPr>
      <w:r>
        <w:separator/>
      </w:r>
    </w:p>
  </w:footnote>
  <w:footnote w:type="continuationSeparator" w:id="0">
    <w:p w:rsidR="00F22304" w:rsidRDefault="00F22304" w:rsidP="001F4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A79" w:rsidRDefault="00575AFD">
    <w:pPr>
      <w:pStyle w:val="Header"/>
    </w:pPr>
    <w:r w:rsidRPr="00575AFD">
      <w:rPr>
        <w:b/>
      </w:rPr>
      <w:t>Resource 6:</w:t>
    </w:r>
    <w:r>
      <w:t xml:space="preserve"> Surge Approach –</w:t>
    </w:r>
    <w:r w:rsidR="00603563">
      <w:t xml:space="preserve"> Frequently asked questions</w:t>
    </w:r>
    <w:r>
      <w:ptab w:relativeTo="margin" w:alignment="right" w:leader="none"/>
    </w:r>
    <w:r>
      <w:t>July 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10D4C"/>
    <w:multiLevelType w:val="hybridMultilevel"/>
    <w:tmpl w:val="9F8058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5190E5D"/>
    <w:multiLevelType w:val="hybridMultilevel"/>
    <w:tmpl w:val="DA8A91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D18620F"/>
    <w:multiLevelType w:val="hybridMultilevel"/>
    <w:tmpl w:val="B13253D4"/>
    <w:lvl w:ilvl="0" w:tplc="553A0CCC">
      <w:start w:val="1"/>
      <w:numFmt w:val="decimal"/>
      <w:lvlText w:val="%1."/>
      <w:lvlJc w:val="left"/>
      <w:pPr>
        <w:ind w:left="720" w:hanging="360"/>
      </w:pPr>
      <w:rPr>
        <w:rFonts w:asciiTheme="minorHAnsi" w:eastAsia="Times New Roman" w:hAnsiTheme="minorHAnsi" w:cs="Times New Roman"/>
        <w:b/>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DCF3F81"/>
    <w:multiLevelType w:val="hybridMultilevel"/>
    <w:tmpl w:val="28EAFE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8EB6B0D"/>
    <w:multiLevelType w:val="hybridMultilevel"/>
    <w:tmpl w:val="4954AAB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30E157F3"/>
    <w:multiLevelType w:val="hybridMultilevel"/>
    <w:tmpl w:val="C8B427D0"/>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15:restartNumberingAfterBreak="0">
    <w:nsid w:val="37296D11"/>
    <w:multiLevelType w:val="hybridMultilevel"/>
    <w:tmpl w:val="F40404B8"/>
    <w:lvl w:ilvl="0" w:tplc="18090003">
      <w:start w:val="1"/>
      <w:numFmt w:val="bullet"/>
      <w:lvlText w:val="o"/>
      <w:lvlJc w:val="left"/>
      <w:pPr>
        <w:ind w:left="360" w:hanging="360"/>
      </w:pPr>
      <w:rPr>
        <w:rFonts w:ascii="Courier New" w:hAnsi="Courier New" w:cs="Courier New"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4DDD6050"/>
    <w:multiLevelType w:val="multilevel"/>
    <w:tmpl w:val="6BA884FA"/>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0"/>
        </w:tabs>
        <w:ind w:left="1080" w:hanging="360"/>
      </w:pPr>
      <w:rPr>
        <w:rFonts w:ascii="Courier New" w:hAnsi="Courier New" w:hint="default"/>
      </w:rPr>
    </w:lvl>
    <w:lvl w:ilvl="2">
      <w:start w:val="1"/>
      <w:numFmt w:val="bullet"/>
      <w:lvlText w:val=""/>
      <w:lvlJc w:val="left"/>
      <w:pPr>
        <w:tabs>
          <w:tab w:val="num" w:pos="0"/>
        </w:tabs>
        <w:ind w:left="1800" w:hanging="360"/>
      </w:pPr>
      <w:rPr>
        <w:rFonts w:ascii="Wingdings" w:hAnsi="Wingdings" w:hint="default"/>
      </w:rPr>
    </w:lvl>
    <w:lvl w:ilvl="3">
      <w:start w:val="1"/>
      <w:numFmt w:val="bullet"/>
      <w:lvlText w:val=""/>
      <w:lvlJc w:val="left"/>
      <w:pPr>
        <w:tabs>
          <w:tab w:val="num" w:pos="0"/>
        </w:tabs>
        <w:ind w:left="2520" w:hanging="360"/>
      </w:pPr>
      <w:rPr>
        <w:rFonts w:ascii="Symbol" w:hAnsi="Symbol" w:hint="default"/>
      </w:rPr>
    </w:lvl>
    <w:lvl w:ilvl="4">
      <w:start w:val="1"/>
      <w:numFmt w:val="bullet"/>
      <w:lvlText w:val="o"/>
      <w:lvlJc w:val="left"/>
      <w:pPr>
        <w:tabs>
          <w:tab w:val="num" w:pos="0"/>
        </w:tabs>
        <w:ind w:left="3240" w:hanging="360"/>
      </w:pPr>
      <w:rPr>
        <w:rFonts w:ascii="Courier New" w:hAnsi="Courier New" w:hint="default"/>
      </w:rPr>
    </w:lvl>
    <w:lvl w:ilvl="5">
      <w:start w:val="1"/>
      <w:numFmt w:val="bullet"/>
      <w:lvlText w:val=""/>
      <w:lvlJc w:val="left"/>
      <w:pPr>
        <w:tabs>
          <w:tab w:val="num" w:pos="0"/>
        </w:tabs>
        <w:ind w:left="3960" w:hanging="360"/>
      </w:pPr>
      <w:rPr>
        <w:rFonts w:ascii="Wingdings" w:hAnsi="Wingdings" w:hint="default"/>
      </w:rPr>
    </w:lvl>
    <w:lvl w:ilvl="6">
      <w:start w:val="1"/>
      <w:numFmt w:val="bullet"/>
      <w:lvlText w:val=""/>
      <w:lvlJc w:val="left"/>
      <w:pPr>
        <w:tabs>
          <w:tab w:val="num" w:pos="0"/>
        </w:tabs>
        <w:ind w:left="4680" w:hanging="360"/>
      </w:pPr>
      <w:rPr>
        <w:rFonts w:ascii="Symbol" w:hAnsi="Symbol" w:hint="default"/>
      </w:rPr>
    </w:lvl>
    <w:lvl w:ilvl="7">
      <w:start w:val="1"/>
      <w:numFmt w:val="bullet"/>
      <w:lvlText w:val="o"/>
      <w:lvlJc w:val="left"/>
      <w:pPr>
        <w:tabs>
          <w:tab w:val="num" w:pos="0"/>
        </w:tabs>
        <w:ind w:left="5400" w:hanging="360"/>
      </w:pPr>
      <w:rPr>
        <w:rFonts w:ascii="Courier New" w:hAnsi="Courier New" w:hint="default"/>
      </w:rPr>
    </w:lvl>
    <w:lvl w:ilvl="8">
      <w:start w:val="1"/>
      <w:numFmt w:val="bullet"/>
      <w:lvlText w:val=""/>
      <w:lvlJc w:val="left"/>
      <w:pPr>
        <w:tabs>
          <w:tab w:val="num" w:pos="0"/>
        </w:tabs>
        <w:ind w:left="6120" w:hanging="360"/>
      </w:pPr>
      <w:rPr>
        <w:rFonts w:ascii="Wingdings" w:hAnsi="Wingdings" w:hint="default"/>
      </w:rPr>
    </w:lvl>
  </w:abstractNum>
  <w:abstractNum w:abstractNumId="8" w15:restartNumberingAfterBreak="0">
    <w:nsid w:val="5A832891"/>
    <w:multiLevelType w:val="hybridMultilevel"/>
    <w:tmpl w:val="55CA8E16"/>
    <w:lvl w:ilvl="0" w:tplc="2D84B02E">
      <w:start w:val="1"/>
      <w:numFmt w:val="bullet"/>
      <w:lvlText w:val="-"/>
      <w:lvlJc w:val="left"/>
      <w:pPr>
        <w:ind w:left="720" w:hanging="360"/>
      </w:pPr>
      <w:rPr>
        <w:rFonts w:ascii="Calibri" w:eastAsia="Times New Roman" w:hAnsi="Calibri"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5DEF75FB"/>
    <w:multiLevelType w:val="hybridMultilevel"/>
    <w:tmpl w:val="506A5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E6635F8"/>
    <w:multiLevelType w:val="hybridMultilevel"/>
    <w:tmpl w:val="B13253D4"/>
    <w:lvl w:ilvl="0" w:tplc="553A0CCC">
      <w:start w:val="1"/>
      <w:numFmt w:val="decimal"/>
      <w:lvlText w:val="%1."/>
      <w:lvlJc w:val="left"/>
      <w:pPr>
        <w:ind w:left="720" w:hanging="360"/>
      </w:pPr>
      <w:rPr>
        <w:rFonts w:asciiTheme="minorHAnsi" w:eastAsia="Times New Roman" w:hAnsiTheme="minorHAnsi" w:cs="Times New Roman"/>
        <w:b/>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65DE3F77"/>
    <w:multiLevelType w:val="hybridMultilevel"/>
    <w:tmpl w:val="DA9086C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2" w15:restartNumberingAfterBreak="0">
    <w:nsid w:val="6C9E3D38"/>
    <w:multiLevelType w:val="multilevel"/>
    <w:tmpl w:val="C0BEF1E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3" w15:restartNumberingAfterBreak="0">
    <w:nsid w:val="70984414"/>
    <w:multiLevelType w:val="multilevel"/>
    <w:tmpl w:val="FC6A1A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num w:numId="1">
    <w:abstractNumId w:val="9"/>
  </w:num>
  <w:num w:numId="2">
    <w:abstractNumId w:val="7"/>
  </w:num>
  <w:num w:numId="3">
    <w:abstractNumId w:val="12"/>
  </w:num>
  <w:num w:numId="4">
    <w:abstractNumId w:val="13"/>
  </w:num>
  <w:num w:numId="5">
    <w:abstractNumId w:val="8"/>
  </w:num>
  <w:num w:numId="6">
    <w:abstractNumId w:val="2"/>
  </w:num>
  <w:num w:numId="7">
    <w:abstractNumId w:val="10"/>
  </w:num>
  <w:num w:numId="8">
    <w:abstractNumId w:val="4"/>
  </w:num>
  <w:num w:numId="9">
    <w:abstractNumId w:val="1"/>
  </w:num>
  <w:num w:numId="10">
    <w:abstractNumId w:val="11"/>
  </w:num>
  <w:num w:numId="11">
    <w:abstractNumId w:val="5"/>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CC"/>
    <w:rsid w:val="00001571"/>
    <w:rsid w:val="00021A01"/>
    <w:rsid w:val="000508DC"/>
    <w:rsid w:val="00083103"/>
    <w:rsid w:val="000A1931"/>
    <w:rsid w:val="000B3B6D"/>
    <w:rsid w:val="000C04A7"/>
    <w:rsid w:val="00113584"/>
    <w:rsid w:val="00197526"/>
    <w:rsid w:val="001B50B4"/>
    <w:rsid w:val="001F4E5A"/>
    <w:rsid w:val="00211327"/>
    <w:rsid w:val="00243C74"/>
    <w:rsid w:val="002634C1"/>
    <w:rsid w:val="002A63CC"/>
    <w:rsid w:val="002F400D"/>
    <w:rsid w:val="00324152"/>
    <w:rsid w:val="00406718"/>
    <w:rsid w:val="00495271"/>
    <w:rsid w:val="004E141A"/>
    <w:rsid w:val="00575AFD"/>
    <w:rsid w:val="0059124F"/>
    <w:rsid w:val="005B28E0"/>
    <w:rsid w:val="005B2B79"/>
    <w:rsid w:val="005C68CC"/>
    <w:rsid w:val="005F3123"/>
    <w:rsid w:val="005F6805"/>
    <w:rsid w:val="00603563"/>
    <w:rsid w:val="00621BB0"/>
    <w:rsid w:val="00663F42"/>
    <w:rsid w:val="006734F5"/>
    <w:rsid w:val="006765B5"/>
    <w:rsid w:val="006D7D9E"/>
    <w:rsid w:val="007071DE"/>
    <w:rsid w:val="007331C3"/>
    <w:rsid w:val="00737F7C"/>
    <w:rsid w:val="0075147E"/>
    <w:rsid w:val="007F0E45"/>
    <w:rsid w:val="00805BEC"/>
    <w:rsid w:val="00862C5F"/>
    <w:rsid w:val="008B09CA"/>
    <w:rsid w:val="008F5BB7"/>
    <w:rsid w:val="00900E3E"/>
    <w:rsid w:val="0091156B"/>
    <w:rsid w:val="0093370E"/>
    <w:rsid w:val="00982CF1"/>
    <w:rsid w:val="00987C6F"/>
    <w:rsid w:val="009A0FB8"/>
    <w:rsid w:val="009A2320"/>
    <w:rsid w:val="009D63F0"/>
    <w:rsid w:val="009F6E90"/>
    <w:rsid w:val="00A33E00"/>
    <w:rsid w:val="00A544A8"/>
    <w:rsid w:val="00A5753E"/>
    <w:rsid w:val="00A9582B"/>
    <w:rsid w:val="00B028D3"/>
    <w:rsid w:val="00B51D17"/>
    <w:rsid w:val="00B60AE5"/>
    <w:rsid w:val="00B60C51"/>
    <w:rsid w:val="00B62FC9"/>
    <w:rsid w:val="00B90DD5"/>
    <w:rsid w:val="00BA139A"/>
    <w:rsid w:val="00BE284E"/>
    <w:rsid w:val="00BE6C4D"/>
    <w:rsid w:val="00C0160F"/>
    <w:rsid w:val="00C26D98"/>
    <w:rsid w:val="00C91269"/>
    <w:rsid w:val="00CD10EB"/>
    <w:rsid w:val="00CE05E2"/>
    <w:rsid w:val="00CF76B6"/>
    <w:rsid w:val="00D03578"/>
    <w:rsid w:val="00D04379"/>
    <w:rsid w:val="00D93328"/>
    <w:rsid w:val="00D97310"/>
    <w:rsid w:val="00E26272"/>
    <w:rsid w:val="00E40D17"/>
    <w:rsid w:val="00E62A79"/>
    <w:rsid w:val="00EC6A59"/>
    <w:rsid w:val="00F22304"/>
    <w:rsid w:val="00F45FA7"/>
    <w:rsid w:val="00F724D2"/>
    <w:rsid w:val="00FA324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26A1C6"/>
  <w14:defaultImageDpi w14:val="0"/>
  <w15:docId w15:val="{092046C5-3BA0-4ADE-AD94-C452996D3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A63CC"/>
    <w:pPr>
      <w:ind w:left="720"/>
      <w:contextualSpacing/>
    </w:pPr>
    <w:rPr>
      <w:lang w:val="en-GB"/>
    </w:rPr>
  </w:style>
  <w:style w:type="character" w:customStyle="1" w:styleId="ListParagraphChar">
    <w:name w:val="List Paragraph Char"/>
    <w:link w:val="ListParagraph"/>
    <w:uiPriority w:val="34"/>
    <w:qFormat/>
    <w:locked/>
    <w:rsid w:val="002A63CC"/>
    <w:rPr>
      <w:lang w:val="en-GB" w:eastAsia="x-none"/>
    </w:rPr>
  </w:style>
  <w:style w:type="paragraph" w:styleId="EndnoteText">
    <w:name w:val="endnote text"/>
    <w:basedOn w:val="Normal"/>
    <w:link w:val="EndnoteTextChar"/>
    <w:uiPriority w:val="99"/>
    <w:unhideWhenUsed/>
    <w:rsid w:val="001F4E5A"/>
    <w:pPr>
      <w:spacing w:after="0" w:line="240" w:lineRule="auto"/>
    </w:pPr>
    <w:rPr>
      <w:sz w:val="20"/>
      <w:szCs w:val="20"/>
      <w:lang w:val="en-GB"/>
    </w:rPr>
  </w:style>
  <w:style w:type="character" w:customStyle="1" w:styleId="EndnoteTextChar">
    <w:name w:val="Endnote Text Char"/>
    <w:basedOn w:val="DefaultParagraphFont"/>
    <w:link w:val="EndnoteText"/>
    <w:uiPriority w:val="99"/>
    <w:qFormat/>
    <w:locked/>
    <w:rsid w:val="001F4E5A"/>
    <w:rPr>
      <w:rFonts w:cs="Times New Roman"/>
      <w:sz w:val="20"/>
      <w:szCs w:val="20"/>
      <w:lang w:val="en-GB" w:eastAsia="x-none"/>
    </w:rPr>
  </w:style>
  <w:style w:type="character" w:customStyle="1" w:styleId="Ancredenotedefin">
    <w:name w:val="Ancre de note de fin"/>
    <w:rsid w:val="001F4E5A"/>
    <w:rPr>
      <w:vertAlign w:val="superscript"/>
    </w:rPr>
  </w:style>
  <w:style w:type="character" w:customStyle="1" w:styleId="Caractresdenotedefin">
    <w:name w:val="Caractères de note de fin"/>
    <w:qFormat/>
    <w:rsid w:val="001F4E5A"/>
  </w:style>
  <w:style w:type="paragraph" w:styleId="BalloonText">
    <w:name w:val="Balloon Text"/>
    <w:basedOn w:val="Normal"/>
    <w:link w:val="BalloonTextChar"/>
    <w:uiPriority w:val="99"/>
    <w:semiHidden/>
    <w:unhideWhenUsed/>
    <w:rsid w:val="001F4E5A"/>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locked/>
    <w:rsid w:val="001F4E5A"/>
    <w:rPr>
      <w:rFonts w:ascii="Segoe UI" w:hAnsi="Segoe UI" w:cs="Times New Roman"/>
      <w:sz w:val="18"/>
      <w:szCs w:val="1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character" w:styleId="CommentReference">
    <w:name w:val="annotation reference"/>
    <w:basedOn w:val="DefaultParagraphFont"/>
    <w:uiPriority w:val="99"/>
    <w:semiHidden/>
    <w:unhideWhenUsed/>
    <w:rPr>
      <w:rFonts w:cs="Times New Roman"/>
      <w:sz w:val="16"/>
      <w:szCs w:val="16"/>
    </w:rPr>
  </w:style>
  <w:style w:type="character" w:styleId="Hyperlink">
    <w:name w:val="Hyperlink"/>
    <w:basedOn w:val="DefaultParagraphFont"/>
    <w:uiPriority w:val="99"/>
    <w:unhideWhenUsed/>
    <w:rsid w:val="00BA139A"/>
    <w:rPr>
      <w:rFonts w:cs="Times New Roman"/>
      <w:color w:val="0563C1" w:themeColor="hyperlink"/>
      <w:u w:val="single"/>
    </w:rPr>
  </w:style>
  <w:style w:type="paragraph" w:styleId="Header">
    <w:name w:val="header"/>
    <w:basedOn w:val="Normal"/>
    <w:link w:val="HeaderChar"/>
    <w:uiPriority w:val="99"/>
    <w:unhideWhenUsed/>
    <w:rsid w:val="00021A0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021A01"/>
    <w:rPr>
      <w:rFonts w:cs="Times New Roman"/>
    </w:rPr>
  </w:style>
  <w:style w:type="paragraph" w:styleId="Footer">
    <w:name w:val="footer"/>
    <w:basedOn w:val="Normal"/>
    <w:link w:val="FooterChar"/>
    <w:uiPriority w:val="99"/>
    <w:unhideWhenUsed/>
    <w:rsid w:val="00021A0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021A01"/>
    <w:rPr>
      <w:rFonts w:cs="Times New Roman"/>
    </w:rPr>
  </w:style>
  <w:style w:type="paragraph" w:customStyle="1" w:styleId="Default">
    <w:name w:val="Default"/>
    <w:rsid w:val="00B60AE5"/>
    <w:pPr>
      <w:autoSpaceDE w:val="0"/>
      <w:autoSpaceDN w:val="0"/>
      <w:adjustRightInd w:val="0"/>
      <w:spacing w:after="0" w:line="240" w:lineRule="auto"/>
    </w:pPr>
    <w:rPr>
      <w:rFonts w:ascii="Akzidenz Grotesk BE" w:hAnsi="Akzidenz Grotesk BE" w:cs="Akzidenz Grotesk BE"/>
      <w:color w:val="000000"/>
      <w:sz w:val="24"/>
      <w:szCs w:val="24"/>
    </w:rPr>
  </w:style>
  <w:style w:type="character" w:customStyle="1" w:styleId="A6">
    <w:name w:val="A6"/>
    <w:uiPriority w:val="99"/>
    <w:rsid w:val="00B60AE5"/>
    <w:rPr>
      <w:color w:val="000000"/>
      <w:sz w:val="11"/>
    </w:rPr>
  </w:style>
  <w:style w:type="character" w:customStyle="1" w:styleId="font351">
    <w:name w:val="font351"/>
    <w:basedOn w:val="DefaultParagraphFont"/>
    <w:rsid w:val="009A0FB8"/>
    <w:rPr>
      <w:rFonts w:ascii="Calibri" w:hAnsi="Calibri" w:cs="Calibri"/>
      <w:b/>
      <w:bCs/>
      <w:color w:val="000000"/>
      <w:sz w:val="20"/>
      <w:szCs w:val="20"/>
      <w:u w:val="none"/>
      <w:effect w:val="none"/>
    </w:rPr>
  </w:style>
  <w:style w:type="character" w:customStyle="1" w:styleId="font391">
    <w:name w:val="font391"/>
    <w:basedOn w:val="DefaultParagraphFont"/>
    <w:rsid w:val="009A0FB8"/>
    <w:rPr>
      <w:rFonts w:ascii="Calibri" w:hAnsi="Calibri" w:cs="Calibri"/>
      <w:color w:val="000000"/>
      <w:sz w:val="20"/>
      <w:szCs w:val="20"/>
      <w:u w:val="none"/>
      <w:effect w:val="none"/>
    </w:rPr>
  </w:style>
  <w:style w:type="table" w:styleId="TableGrid">
    <w:name w:val="Table Grid"/>
    <w:basedOn w:val="TableNormal"/>
    <w:uiPriority w:val="39"/>
    <w:rsid w:val="00EC6A59"/>
    <w:pPr>
      <w:spacing w:after="0" w:line="240" w:lineRule="auto"/>
    </w:pPr>
    <w:rPr>
      <w:rFonts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C6A59"/>
    <w:pPr>
      <w:spacing w:before="100" w:beforeAutospacing="1" w:after="100" w:afterAutospacing="1" w:line="240" w:lineRule="auto"/>
    </w:pPr>
    <w:rPr>
      <w:rFonts w:ascii="Times New Roman" w:hAnsi="Times New Roman"/>
      <w:sz w:val="24"/>
      <w:szCs w:val="24"/>
      <w:lang w:val="fr-FR" w:eastAsia="fr-FR"/>
    </w:rPr>
  </w:style>
  <w:style w:type="character" w:customStyle="1" w:styleId="normaltextrun">
    <w:name w:val="normaltextrun"/>
    <w:basedOn w:val="DefaultParagraphFont"/>
    <w:qFormat/>
    <w:rsid w:val="00EC6A59"/>
    <w:rPr>
      <w:rFonts w:cs="Times New Roman"/>
    </w:rPr>
  </w:style>
  <w:style w:type="paragraph" w:customStyle="1" w:styleId="Tool">
    <w:name w:val="Tool"/>
    <w:basedOn w:val="Normal"/>
    <w:link w:val="ToolChar"/>
    <w:qFormat/>
    <w:rsid w:val="00EC6A59"/>
    <w:pPr>
      <w:keepNext/>
      <w:spacing w:after="0" w:line="240" w:lineRule="auto"/>
    </w:pPr>
    <w:rPr>
      <w:b/>
      <w:color w:val="000000" w:themeColor="text1"/>
      <w:sz w:val="24"/>
      <w:szCs w:val="24"/>
      <w:lang w:val="en-GB"/>
    </w:rPr>
  </w:style>
  <w:style w:type="character" w:customStyle="1" w:styleId="ToolChar">
    <w:name w:val="Tool Char"/>
    <w:basedOn w:val="DefaultParagraphFont"/>
    <w:link w:val="Tool"/>
    <w:qFormat/>
    <w:locked/>
    <w:rsid w:val="00EC6A59"/>
    <w:rPr>
      <w:rFonts w:cs="Times New Roman"/>
      <w:b/>
      <w:color w:val="000000" w:themeColor="text1"/>
      <w:sz w:val="24"/>
      <w:szCs w:val="24"/>
      <w:lang w:val="en-GB"/>
    </w:rPr>
  </w:style>
  <w:style w:type="character" w:styleId="FootnoteReference">
    <w:name w:val="footnote reference"/>
    <w:basedOn w:val="DefaultParagraphFont"/>
    <w:uiPriority w:val="99"/>
    <w:semiHidden/>
    <w:unhideWhenUsed/>
    <w:rsid w:val="00EC6A5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108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esurgeapproach@concern.ne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7607F8ACDC43B5999F3E92E57E41" ma:contentTypeVersion="15" ma:contentTypeDescription="Create a new document." ma:contentTypeScope="" ma:versionID="057da18f681809cb23781463ce6af9ac">
  <xsd:schema xmlns:xsd="http://www.w3.org/2001/XMLSchema" xmlns:xs="http://www.w3.org/2001/XMLSchema" xmlns:p="http://schemas.microsoft.com/office/2006/metadata/properties" xmlns:ns3="8b7225dc-5444-4eb5-b875-8215f2986684" xmlns:ns4="73aa9121-3182-46b9-b5e1-8d140a7d11cd" targetNamespace="http://schemas.microsoft.com/office/2006/metadata/properties" ma:root="true" ma:fieldsID="d88947a2c0c4489ef1ce6394d930cfb1" ns3:_="" ns4:_="">
    <xsd:import namespace="8b7225dc-5444-4eb5-b875-8215f2986684"/>
    <xsd:import namespace="73aa9121-3182-46b9-b5e1-8d140a7d11c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7225dc-5444-4eb5-b875-8215f2986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aa9121-3182-46b9-b5e1-8d140a7d11c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b7225dc-5444-4eb5-b875-8215f29866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E1047-270F-4AC8-A037-B9A1E9464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7225dc-5444-4eb5-b875-8215f2986684"/>
    <ds:schemaRef ds:uri="73aa9121-3182-46b9-b5e1-8d140a7d1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BE750-98F7-4AB4-AAAA-42510AFFF41E}">
  <ds:schemaRefs>
    <ds:schemaRef ds:uri="http://schemas.microsoft.com/office/2006/metadata/properties"/>
    <ds:schemaRef ds:uri="http://schemas.microsoft.com/office/infopath/2007/PartnerControls"/>
    <ds:schemaRef ds:uri="8b7225dc-5444-4eb5-b875-8215f2986684"/>
  </ds:schemaRefs>
</ds:datastoreItem>
</file>

<file path=customXml/itemProps3.xml><?xml version="1.0" encoding="utf-8"?>
<ds:datastoreItem xmlns:ds="http://schemas.openxmlformats.org/officeDocument/2006/customXml" ds:itemID="{9DB65085-CE99-41D7-98CA-6F7AA08A3C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Lafferty</dc:creator>
  <cp:keywords/>
  <dc:description/>
  <cp:lastModifiedBy>Lucy Lafferty</cp:lastModifiedBy>
  <cp:revision>2</cp:revision>
  <dcterms:created xsi:type="dcterms:W3CDTF">2023-07-27T14:52:00Z</dcterms:created>
  <dcterms:modified xsi:type="dcterms:W3CDTF">2023-07-27T14:52:00Z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0x010100A8577607F8ACDC43B5999F3E92E57E41</vt:lpwstr>
  </property>
</Properties>
</file>